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C91" w:rsidRPr="00ED6937" w:rsidRDefault="00E40C91">
      <w:pPr>
        <w:rPr>
          <w:rFonts w:ascii="Times New Roman" w:hAnsi="Times New Roman" w:cs="Times New Roman"/>
          <w:sz w:val="28"/>
        </w:rPr>
      </w:pPr>
      <w:r w:rsidRPr="00ED6937">
        <w:rPr>
          <w:rFonts w:ascii="Times New Roman" w:hAnsi="Times New Roman" w:cs="Times New Roman"/>
          <w:b/>
          <w:sz w:val="28"/>
        </w:rPr>
        <w:t>Capo I - Dell'incarico</w:t>
      </w:r>
      <w:r w:rsidRPr="00ED6937">
        <w:rPr>
          <w:rFonts w:ascii="Times New Roman" w:hAnsi="Times New Roman" w:cs="Times New Roman"/>
          <w:sz w:val="28"/>
        </w:rPr>
        <w:t xml:space="preserve"> </w:t>
      </w:r>
      <w:r w:rsidRPr="00ED6937">
        <w:rPr>
          <w:rFonts w:ascii="Times New Roman" w:hAnsi="Times New Roman" w:cs="Times New Roman"/>
          <w:sz w:val="28"/>
        </w:rPr>
        <w:br/>
      </w:r>
      <w:r w:rsidRPr="00ED6937">
        <w:rPr>
          <w:rFonts w:ascii="Times New Roman" w:hAnsi="Times New Roman" w:cs="Times New Roman"/>
          <w:sz w:val="28"/>
        </w:rPr>
        <w:br/>
        <w:t xml:space="preserve">Sezione I - Dell'astensione </w:t>
      </w:r>
      <w:r w:rsidRPr="00ED6937">
        <w:rPr>
          <w:rFonts w:ascii="Times New Roman" w:hAnsi="Times New Roman" w:cs="Times New Roman"/>
          <w:sz w:val="28"/>
        </w:rPr>
        <w:br/>
      </w:r>
      <w:r w:rsidRPr="00ED6937">
        <w:rPr>
          <w:rFonts w:ascii="Times New Roman" w:hAnsi="Times New Roman" w:cs="Times New Roman"/>
          <w:sz w:val="28"/>
        </w:rPr>
        <w:br/>
        <w:t>31 - Indipendentemente da quanto previsto dalla legge per i casi di irricevibilità degli atti, il Notaio</w:t>
      </w:r>
      <w:bookmarkStart w:id="0" w:name="_GoBack"/>
      <w:bookmarkEnd w:id="0"/>
      <w:r w:rsidRPr="00ED6937">
        <w:rPr>
          <w:rFonts w:ascii="Times New Roman" w:hAnsi="Times New Roman" w:cs="Times New Roman"/>
          <w:sz w:val="28"/>
        </w:rPr>
        <w:t xml:space="preserve"> deve astenersi dal prestare il proprio ministero, se non in via occasionale o per necessità non altrimenti superabile, quando dell'atto siano parte società di capitali o enti dei quali egli sia amministratore, anche senza rappresentanza, o rivesta la qualità di sindaco, ovvero sia unico socio o titolare del pacchetto di maggioranza della società. </w:t>
      </w:r>
      <w:r w:rsidRPr="00ED6937">
        <w:rPr>
          <w:rFonts w:ascii="Times New Roman" w:hAnsi="Times New Roman" w:cs="Times New Roman"/>
          <w:sz w:val="28"/>
        </w:rPr>
        <w:br/>
      </w:r>
      <w:r w:rsidRPr="00ED6937">
        <w:rPr>
          <w:rFonts w:ascii="Times New Roman" w:hAnsi="Times New Roman" w:cs="Times New Roman"/>
          <w:sz w:val="28"/>
        </w:rPr>
        <w:br/>
        <w:t xml:space="preserve">Sezione II - Della assunzione </w:t>
      </w:r>
      <w:r w:rsidRPr="00ED6937">
        <w:rPr>
          <w:rFonts w:ascii="Times New Roman" w:hAnsi="Times New Roman" w:cs="Times New Roman"/>
          <w:sz w:val="28"/>
        </w:rPr>
        <w:br/>
      </w:r>
      <w:r w:rsidRPr="00ED6937">
        <w:rPr>
          <w:rFonts w:ascii="Times New Roman" w:hAnsi="Times New Roman" w:cs="Times New Roman"/>
          <w:sz w:val="28"/>
        </w:rPr>
        <w:br/>
        <w:t xml:space="preserve">32 - Nell'ambito del generale dovere di imparzialità il Notaio deve astenersi, nella fase di assunzione dell'incarico professionale, da qualsiasi comportamento che possa influire sulla sua designazione che deve essere rimessa al libero accordo delle parti. </w:t>
      </w:r>
      <w:r w:rsidRPr="00ED6937">
        <w:rPr>
          <w:rFonts w:ascii="Times New Roman" w:hAnsi="Times New Roman" w:cs="Times New Roman"/>
          <w:sz w:val="28"/>
        </w:rPr>
        <w:br/>
        <w:t>Per gli atti di vendita e di mutuo da parte di soggetti imprenditori (costruttori, banche, ecc.) il Notaio, prima di assumere l'incarico, è tenuto ad informare l'altra parte (consumatore) della suddetta regola e del suo diritto di designare il Notaio in mancanza di libero accordo.</w:t>
      </w:r>
      <w:r w:rsidRPr="00ED6937">
        <w:rPr>
          <w:rFonts w:ascii="Times New Roman" w:hAnsi="Times New Roman" w:cs="Times New Roman"/>
          <w:sz w:val="28"/>
        </w:rPr>
        <w:br/>
      </w:r>
      <w:r w:rsidRPr="00ED6937">
        <w:rPr>
          <w:rFonts w:ascii="Times New Roman" w:hAnsi="Times New Roman" w:cs="Times New Roman"/>
          <w:sz w:val="28"/>
        </w:rPr>
        <w:br/>
        <w:t>33 - I Consigli Notarili, nell'ambito del loro generale potere-dovere istituzionale, sono tenuti a porre in essere forme specifiche di vigilanza e di controllo, anche mediante acquisizione di informazioni dai Notai e ispezioni presso pubblici uffici.</w:t>
      </w:r>
      <w:r w:rsidRPr="00ED6937">
        <w:rPr>
          <w:rFonts w:ascii="Times New Roman" w:hAnsi="Times New Roman" w:cs="Times New Roman"/>
          <w:sz w:val="28"/>
        </w:rPr>
        <w:br/>
      </w:r>
      <w:r w:rsidRPr="00ED6937">
        <w:rPr>
          <w:rFonts w:ascii="Times New Roman" w:hAnsi="Times New Roman" w:cs="Times New Roman"/>
          <w:sz w:val="28"/>
        </w:rPr>
        <w:br/>
        <w:t>34 - In presenza di flussi di prestazioni di rilevante entità, della concentrazione di designazioni per determinati gruppi di atti o di altri elementi indicativi (quali elenchi selettivi di Notai, inserimento di nominativi in moduli o formulari predisposti, situazioni di dominanza) i Consigli Notarili sono tenuti ad individuare, valutare e, se del caso, perseguire disciplinarmente comportamenti illeciti, attuati anche mediante pressioni dirette o indirette, ed eventualmente ad intervenire presso gli enti pubblici e privati interessati.</w:t>
      </w:r>
      <w:r w:rsidRPr="00ED6937">
        <w:rPr>
          <w:rFonts w:ascii="Times New Roman" w:hAnsi="Times New Roman" w:cs="Times New Roman"/>
          <w:sz w:val="28"/>
        </w:rPr>
        <w:br/>
      </w:r>
      <w:r w:rsidRPr="00ED6937">
        <w:rPr>
          <w:rFonts w:ascii="Times New Roman" w:hAnsi="Times New Roman" w:cs="Times New Roman"/>
          <w:sz w:val="28"/>
        </w:rPr>
        <w:br/>
        <w:t xml:space="preserve">35 - Nell'ipotesi di rilevanti fenomeni di vasta contrattazione, riguardanti il patrimonio di enti pubblici o degli enti ad essi assimilati (c.d. privatizzazioni o dismissioni), i Consigli Notarili distrettuali - in considerazione del superiore interesse pubblico che li caratterizza e in accordo con detti enti - possono organizzare l'assunzione e la distribuzione degli incarichi fra i Notai del Distretto che si dichiarino disponibili, facendo salva la facoltà del singolo acquirente di designare tempestivamente un Notaio diverso. </w:t>
      </w:r>
      <w:r w:rsidRPr="00ED6937">
        <w:rPr>
          <w:rFonts w:ascii="Times New Roman" w:hAnsi="Times New Roman" w:cs="Times New Roman"/>
          <w:sz w:val="28"/>
        </w:rPr>
        <w:br/>
        <w:t xml:space="preserve">Quando la realizzazione del programma di dismissione, a tutela di straordinari interessi pubblici, comporti tempistiche e procedure rigorose e uniformi, che vengano regolate da convenzioni e protocolli tra il Consiglio nazionale e gli enti coinvolti, la </w:t>
      </w:r>
      <w:r w:rsidRPr="00ED6937">
        <w:rPr>
          <w:rFonts w:ascii="Times New Roman" w:hAnsi="Times New Roman" w:cs="Times New Roman"/>
          <w:sz w:val="28"/>
        </w:rPr>
        <w:lastRenderedPageBreak/>
        <w:t>designazione dei Notai è riservata ai Consigli Notarili distrettuali secondo criteri che essi abbiano elaborato preventivamente.</w:t>
      </w:r>
    </w:p>
    <w:sectPr w:rsidR="00E40C91" w:rsidRPr="00ED6937" w:rsidSect="00E40C91">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91"/>
    <w:rsid w:val="00170C0D"/>
    <w:rsid w:val="00326E69"/>
    <w:rsid w:val="00E40C91"/>
    <w:rsid w:val="00ED69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F3B8F-2EB9-4507-A196-02B11232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Ennio</dc:creator>
  <cp:keywords/>
  <dc:description/>
  <cp:lastModifiedBy>Ennio</cp:lastModifiedBy>
  <cp:revision>3</cp:revision>
  <dcterms:created xsi:type="dcterms:W3CDTF">2017-09-25T15:31:00Z</dcterms:created>
  <dcterms:modified xsi:type="dcterms:W3CDTF">2018-01-15T20:21:00Z</dcterms:modified>
</cp:coreProperties>
</file>