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168" w:rsidRPr="00D11113" w:rsidRDefault="00EB0168">
      <w:pPr>
        <w:rPr>
          <w:rFonts w:ascii="Times New Roman" w:hAnsi="Times New Roman" w:cs="Times New Roman"/>
          <w:sz w:val="28"/>
        </w:rPr>
      </w:pPr>
      <w:bookmarkStart w:id="0" w:name="_GoBack"/>
      <w:r w:rsidRPr="00D11113">
        <w:rPr>
          <w:rFonts w:ascii="Times New Roman" w:hAnsi="Times New Roman" w:cs="Times New Roman"/>
          <w:b/>
          <w:sz w:val="28"/>
        </w:rPr>
        <w:t>Sezione I - Della illecita concorrenza</w:t>
      </w:r>
      <w:r w:rsidRPr="00D11113">
        <w:rPr>
          <w:rFonts w:ascii="Times New Roman" w:hAnsi="Times New Roman" w:cs="Times New Roman"/>
          <w:sz w:val="28"/>
        </w:rPr>
        <w:br/>
      </w:r>
      <w:r w:rsidRPr="00D11113">
        <w:rPr>
          <w:rFonts w:ascii="Times New Roman" w:hAnsi="Times New Roman" w:cs="Times New Roman"/>
          <w:sz w:val="28"/>
        </w:rPr>
        <w:br/>
        <w:t>17 - Configurano distinte fattispecie di illecita concorrenza conformemente a quanto previsto dall'articolo 147 della Legge Notarile ed a titolo esemplificativo - i seguenti comportamenti:</w:t>
      </w:r>
      <w:r w:rsidRPr="00D11113">
        <w:rPr>
          <w:rFonts w:ascii="Times New Roman" w:hAnsi="Times New Roman" w:cs="Times New Roman"/>
          <w:sz w:val="28"/>
        </w:rPr>
        <w:br/>
      </w:r>
      <w:r w:rsidRPr="00D11113">
        <w:rPr>
          <w:rFonts w:ascii="Times New Roman" w:hAnsi="Times New Roman" w:cs="Times New Roman"/>
          <w:sz w:val="28"/>
        </w:rPr>
        <w:br/>
        <w:t>a) la irregolare documentazione della prestazione nella quale ad esempio rientrano:</w:t>
      </w:r>
      <w:r w:rsidRPr="00D11113">
        <w:rPr>
          <w:rFonts w:ascii="Times New Roman" w:hAnsi="Times New Roman" w:cs="Times New Roman"/>
          <w:sz w:val="28"/>
        </w:rPr>
        <w:br/>
        <w:t>• la mancata e documentata specificazione di anticipazioni, onorari, diritti e compensi;</w:t>
      </w:r>
      <w:r w:rsidRPr="00D11113">
        <w:rPr>
          <w:rFonts w:ascii="Times New Roman" w:hAnsi="Times New Roman" w:cs="Times New Roman"/>
          <w:sz w:val="28"/>
        </w:rPr>
        <w:br/>
        <w:t>• la omissione o la emissione irregolare di fatture a fronte di prestazioni rese;</w:t>
      </w:r>
      <w:r w:rsidRPr="00D11113">
        <w:rPr>
          <w:rFonts w:ascii="Times New Roman" w:hAnsi="Times New Roman" w:cs="Times New Roman"/>
          <w:sz w:val="28"/>
        </w:rPr>
        <w:br/>
        <w:t>• l'annotazione a repertorio di onorari minori o ridotti rispetto a quelli che devono essere indicati in base alla natura dell'atto;</w:t>
      </w:r>
      <w:r w:rsidRPr="00D11113">
        <w:rPr>
          <w:rFonts w:ascii="Times New Roman" w:hAnsi="Times New Roman" w:cs="Times New Roman"/>
          <w:sz w:val="28"/>
        </w:rPr>
        <w:br/>
        <w:t>• l'omessa annotazione di alcune specie di atti in difformità dalle indicazioni degli organi di categoria;</w:t>
      </w:r>
      <w:r w:rsidRPr="00D11113">
        <w:rPr>
          <w:rFonts w:ascii="Times New Roman" w:hAnsi="Times New Roman" w:cs="Times New Roman"/>
          <w:sz w:val="28"/>
        </w:rPr>
        <w:br/>
      </w:r>
      <w:r w:rsidRPr="00D11113">
        <w:rPr>
          <w:rFonts w:ascii="Times New Roman" w:hAnsi="Times New Roman" w:cs="Times New Roman"/>
          <w:sz w:val="28"/>
        </w:rPr>
        <w:br/>
        <w:t>b) il servirsi dell'opera di procacciatori di clienti o l'utilizzazione di situazioni equivalenti. La fattispecie si realizza per la presenza congiunta:</w:t>
      </w:r>
      <w:r w:rsidRPr="00D11113">
        <w:rPr>
          <w:rFonts w:ascii="Times New Roman" w:hAnsi="Times New Roman" w:cs="Times New Roman"/>
          <w:sz w:val="28"/>
        </w:rPr>
        <w:br/>
        <w:t>• dell'opera di un terzo (procacciatore) che induca persone a scegliere un determinato Notaio;</w:t>
      </w:r>
      <w:r w:rsidRPr="00D11113">
        <w:rPr>
          <w:rFonts w:ascii="Times New Roman" w:hAnsi="Times New Roman" w:cs="Times New Roman"/>
          <w:sz w:val="28"/>
        </w:rPr>
        <w:br/>
        <w:t>• di un atteggiamento attivo del Notaio mediante conferimento al procacciatore dell'incarico, anche a titolo non oneroso, di procurargli clienti.</w:t>
      </w:r>
      <w:r w:rsidRPr="00D11113">
        <w:rPr>
          <w:rFonts w:ascii="Times New Roman" w:hAnsi="Times New Roman" w:cs="Times New Roman"/>
          <w:sz w:val="28"/>
        </w:rPr>
        <w:br/>
        <w:t>Sono elementi che a titolo esemplificativo denotano il possibile realizzarsi della fattispecie:</w:t>
      </w:r>
      <w:r w:rsidRPr="00D11113">
        <w:rPr>
          <w:rFonts w:ascii="Times New Roman" w:hAnsi="Times New Roman" w:cs="Times New Roman"/>
          <w:sz w:val="28"/>
        </w:rPr>
        <w:br/>
        <w:t>• la concentrazione su uno stesso Notaio di designazioni relative a gruppi di atti riconducibili ad una medesima fonte (es.: agenzie, banche, enti, ecc.);</w:t>
      </w:r>
      <w:r w:rsidRPr="00D11113">
        <w:rPr>
          <w:rFonts w:ascii="Times New Roman" w:hAnsi="Times New Roman" w:cs="Times New Roman"/>
          <w:sz w:val="28"/>
        </w:rPr>
        <w:br/>
        <w:t>• l'inserimento del nome del Notaio in moduli o formulari predisposti;</w:t>
      </w:r>
      <w:r w:rsidRPr="00D11113">
        <w:rPr>
          <w:rFonts w:ascii="Times New Roman" w:hAnsi="Times New Roman" w:cs="Times New Roman"/>
          <w:sz w:val="28"/>
        </w:rPr>
        <w:br/>
        <w:t>• la collaborazione di dipendenti di Enti o Uffici il cui contatto con il pubblico possa favorire forme di procacciamento di clienti.</w:t>
      </w:r>
      <w:r w:rsidRPr="00D11113">
        <w:rPr>
          <w:rFonts w:ascii="Times New Roman" w:hAnsi="Times New Roman" w:cs="Times New Roman"/>
          <w:sz w:val="28"/>
        </w:rPr>
        <w:br/>
        <w:t>L'altra fattispecie prevista, della utilizzazione di situazioni equivalenti, può verificarsi nel caso di preesistenza di aggregati di potenziale clientela e di fattivo comportamento del Notaio per accaparrarli. In questi casi l'esistenza dell'accordo tra procacciatore e Notaio, necessaria per configurare la fattispecie, è già per sé dimostrata dal subingresso del Notaio nella situazione precostituita. Vi possono rientrare, a titolo esemplificativo:</w:t>
      </w:r>
      <w:r w:rsidRPr="00D11113">
        <w:rPr>
          <w:rFonts w:ascii="Times New Roman" w:hAnsi="Times New Roman" w:cs="Times New Roman"/>
          <w:sz w:val="28"/>
        </w:rPr>
        <w:br/>
        <w:t>• la c.d. "rilevazione onerosa di studio notarile";</w:t>
      </w:r>
      <w:r w:rsidRPr="00D11113">
        <w:rPr>
          <w:rFonts w:ascii="Times New Roman" w:hAnsi="Times New Roman" w:cs="Times New Roman"/>
          <w:sz w:val="28"/>
        </w:rPr>
        <w:br/>
        <w:t>• il periodico e continuativo svolgimento di prestazioni presso organizzazioni o studi di professionisti;</w:t>
      </w:r>
      <w:r w:rsidRPr="00D11113">
        <w:rPr>
          <w:rFonts w:ascii="Times New Roman" w:hAnsi="Times New Roman" w:cs="Times New Roman"/>
          <w:sz w:val="28"/>
        </w:rPr>
        <w:br/>
        <w:t xml:space="preserve">• </w:t>
      </w:r>
      <w:proofErr w:type="spellStart"/>
      <w:r w:rsidRPr="00D11113">
        <w:rPr>
          <w:rFonts w:ascii="Times New Roman" w:hAnsi="Times New Roman" w:cs="Times New Roman"/>
          <w:sz w:val="28"/>
        </w:rPr>
        <w:t>la utilizzazione</w:t>
      </w:r>
      <w:proofErr w:type="spellEnd"/>
      <w:r w:rsidRPr="00D11113">
        <w:rPr>
          <w:rFonts w:ascii="Times New Roman" w:hAnsi="Times New Roman" w:cs="Times New Roman"/>
          <w:sz w:val="28"/>
        </w:rPr>
        <w:t xml:space="preserve"> di organismi rappresentativi di altre categorie con offerta di prestazioni di assistenza e consulenza;</w:t>
      </w:r>
      <w:r w:rsidRPr="00D11113">
        <w:rPr>
          <w:rFonts w:ascii="Times New Roman" w:hAnsi="Times New Roman" w:cs="Times New Roman"/>
          <w:sz w:val="28"/>
        </w:rPr>
        <w:br/>
      </w:r>
      <w:r w:rsidRPr="00D11113">
        <w:rPr>
          <w:rFonts w:ascii="Times New Roman" w:hAnsi="Times New Roman" w:cs="Times New Roman"/>
          <w:sz w:val="28"/>
        </w:rPr>
        <w:br/>
        <w:t xml:space="preserve">c) l'esecuzione delle prestazioni secondo sistematici comportamenti frettolosi o compiacenti. La fattispecie si realizza in presenza di comportamenti non adeguati alla diligenza del professionista avveduto e scrupoloso, cui il Notaio è tenuto nella esecuzione della prestazione, se da essi derivano fenomeni di accaparramento in </w:t>
      </w:r>
      <w:r w:rsidRPr="00D11113">
        <w:rPr>
          <w:rFonts w:ascii="Times New Roman" w:hAnsi="Times New Roman" w:cs="Times New Roman"/>
          <w:sz w:val="28"/>
        </w:rPr>
        <w:lastRenderedPageBreak/>
        <w:t>favore del Notaio negligente. La varietà delle forme che possono assumere la frettolosità o compiacenza dei comportamenti non consente una elencazione, sia pure esemplificativa, ma soltanto la segnalazione di alcuni casi-tipo ricavati dalla esperienza notarile e dalla giurisprudenza:</w:t>
      </w:r>
      <w:r w:rsidRPr="00D11113">
        <w:rPr>
          <w:rFonts w:ascii="Times New Roman" w:hAnsi="Times New Roman" w:cs="Times New Roman"/>
          <w:sz w:val="28"/>
        </w:rPr>
        <w:br/>
        <w:t>• mancata indagine sui poteri di rappresentanza, sulla legittimazione delle parti e sul rispetto delle norme del diritto di famiglia;</w:t>
      </w:r>
      <w:r w:rsidRPr="00D11113">
        <w:rPr>
          <w:rFonts w:ascii="Times New Roman" w:hAnsi="Times New Roman" w:cs="Times New Roman"/>
          <w:sz w:val="28"/>
        </w:rPr>
        <w:br/>
        <w:t>• utilizzazione della clausola di esonero da responsabilità;</w:t>
      </w:r>
      <w:r w:rsidRPr="00D11113">
        <w:rPr>
          <w:rFonts w:ascii="Times New Roman" w:hAnsi="Times New Roman" w:cs="Times New Roman"/>
          <w:sz w:val="28"/>
        </w:rPr>
        <w:br/>
        <w:t>• omissione di comportamenti cui si è tenuti personalmente (in ordine ad es. alla identità e all'indagine sulla volontà delle parti);</w:t>
      </w:r>
      <w:r w:rsidRPr="00D11113">
        <w:rPr>
          <w:rFonts w:ascii="Times New Roman" w:hAnsi="Times New Roman" w:cs="Times New Roman"/>
          <w:sz w:val="28"/>
        </w:rPr>
        <w:br/>
        <w:t>• offerta di servizi non rientranti nel normale esercizio dell'attività notarile (ad es. finanziamenti e anticipazioni di somme);</w:t>
      </w:r>
      <w:r w:rsidRPr="00D11113">
        <w:rPr>
          <w:rFonts w:ascii="Times New Roman" w:hAnsi="Times New Roman" w:cs="Times New Roman"/>
          <w:sz w:val="28"/>
        </w:rPr>
        <w:br/>
        <w:t>• particolari assistenze e garanzie di speditezza ed esito favorevole di pratiche presso uffici fiscali, banche, enti pubblici e simili;</w:t>
      </w:r>
      <w:r w:rsidRPr="00D11113">
        <w:rPr>
          <w:rFonts w:ascii="Times New Roman" w:hAnsi="Times New Roman" w:cs="Times New Roman"/>
          <w:sz w:val="28"/>
        </w:rPr>
        <w:br/>
        <w:t>• rinuncia a richiedere la documentazione dovuta per legge o comunemente ritenuta necessaria (ad es. catastale, urbanistica) per il compiuto ricevimento dell'atto;</w:t>
      </w:r>
      <w:r w:rsidRPr="00D11113">
        <w:rPr>
          <w:rFonts w:ascii="Times New Roman" w:hAnsi="Times New Roman" w:cs="Times New Roman"/>
          <w:sz w:val="28"/>
        </w:rPr>
        <w:br/>
        <w:t>• l'utilizzazione dell'ufficio secondario nelle condizioni indicate nell'articolo 16.</w:t>
      </w:r>
      <w:r w:rsidRPr="00D11113">
        <w:rPr>
          <w:rFonts w:ascii="Times New Roman" w:hAnsi="Times New Roman" w:cs="Times New Roman"/>
          <w:sz w:val="28"/>
        </w:rPr>
        <w:br/>
      </w:r>
      <w:r w:rsidRPr="00D11113">
        <w:rPr>
          <w:rFonts w:ascii="Times New Roman" w:hAnsi="Times New Roman" w:cs="Times New Roman"/>
          <w:sz w:val="28"/>
        </w:rPr>
        <w:br/>
      </w:r>
    </w:p>
    <w:p w:rsidR="00326E69" w:rsidRPr="00D11113" w:rsidRDefault="00EB0168">
      <w:pPr>
        <w:rPr>
          <w:rFonts w:ascii="Times New Roman" w:hAnsi="Times New Roman" w:cs="Times New Roman"/>
          <w:sz w:val="28"/>
        </w:rPr>
      </w:pPr>
      <w:r w:rsidRPr="00D11113">
        <w:rPr>
          <w:rFonts w:ascii="Times New Roman" w:hAnsi="Times New Roman" w:cs="Times New Roman"/>
          <w:b/>
          <w:sz w:val="28"/>
        </w:rPr>
        <w:t>Sezione II - Della pubblicità</w:t>
      </w:r>
      <w:r w:rsidRPr="00D11113">
        <w:rPr>
          <w:rFonts w:ascii="Times New Roman" w:hAnsi="Times New Roman" w:cs="Times New Roman"/>
          <w:sz w:val="28"/>
        </w:rPr>
        <w:br/>
      </w:r>
      <w:r w:rsidRPr="00D11113">
        <w:rPr>
          <w:rFonts w:ascii="Times New Roman" w:hAnsi="Times New Roman" w:cs="Times New Roman"/>
          <w:sz w:val="28"/>
        </w:rPr>
        <w:br/>
        <w:t xml:space="preserve">18 - Nell'interesse collettivo, è consentita la pubblicità informativa, improntata alla sobrietà, concernente dati personali attinenti l'attività e situazioni ed elementi organizzativi fondati su dati obiettivi e verificabili, nel rispetto dell'indipendenza, della dignità e della integrità della funzione pubblica nonché del segreto professionale. </w:t>
      </w:r>
      <w:r w:rsidRPr="00D11113">
        <w:rPr>
          <w:rFonts w:ascii="Times New Roman" w:hAnsi="Times New Roman" w:cs="Times New Roman"/>
          <w:sz w:val="28"/>
        </w:rPr>
        <w:br/>
        <w:t>È vietata la pubblicità ingannevole, comunque attuata.</w:t>
      </w:r>
      <w:r w:rsidRPr="00D11113">
        <w:rPr>
          <w:rFonts w:ascii="Times New Roman" w:hAnsi="Times New Roman" w:cs="Times New Roman"/>
          <w:sz w:val="28"/>
        </w:rPr>
        <w:br/>
        <w:t>Costituisce, comunque, pubblicità ingannevole la diffusione di messaggi autoreferenziali che riguardino il possesso di competenze o esperienze attinenti al normale bagaglio culturale e giuridico del Notaio.</w:t>
      </w:r>
      <w:r w:rsidRPr="00D11113">
        <w:rPr>
          <w:rFonts w:ascii="Times New Roman" w:hAnsi="Times New Roman" w:cs="Times New Roman"/>
          <w:sz w:val="28"/>
        </w:rPr>
        <w:br/>
      </w:r>
      <w:r w:rsidRPr="00D11113">
        <w:rPr>
          <w:rFonts w:ascii="Times New Roman" w:hAnsi="Times New Roman" w:cs="Times New Roman"/>
          <w:sz w:val="28"/>
        </w:rPr>
        <w:br/>
        <w:t>19 - Agli effetti dell'articolo 18, possono essere diffusi dati personali, obiettivi e verificabili, quali, a titolo esemplificativo, quelli relativi a:</w:t>
      </w:r>
      <w:r w:rsidRPr="00D11113">
        <w:rPr>
          <w:rFonts w:ascii="Times New Roman" w:hAnsi="Times New Roman" w:cs="Times New Roman"/>
          <w:sz w:val="28"/>
        </w:rPr>
        <w:br/>
        <w:t>• titoli di studio e professionali legalmente riconosciuti;</w:t>
      </w:r>
      <w:r w:rsidRPr="00D11113">
        <w:rPr>
          <w:rFonts w:ascii="Times New Roman" w:hAnsi="Times New Roman" w:cs="Times New Roman"/>
          <w:sz w:val="28"/>
        </w:rPr>
        <w:br/>
        <w:t>• docenza universitaria o in scuole di formazione;</w:t>
      </w:r>
      <w:r w:rsidRPr="00D11113">
        <w:rPr>
          <w:rFonts w:ascii="Times New Roman" w:hAnsi="Times New Roman" w:cs="Times New Roman"/>
          <w:sz w:val="28"/>
        </w:rPr>
        <w:br/>
        <w:t>• frequenza di master o corsi di specializzazione o perfezionamento in ambito giuridico;</w:t>
      </w:r>
      <w:r w:rsidRPr="00D11113">
        <w:rPr>
          <w:rFonts w:ascii="Times New Roman" w:hAnsi="Times New Roman" w:cs="Times New Roman"/>
          <w:sz w:val="28"/>
        </w:rPr>
        <w:br/>
        <w:t>• svolgimento di conferenze in convegni giuridici;</w:t>
      </w:r>
      <w:r w:rsidRPr="00D11113">
        <w:rPr>
          <w:rFonts w:ascii="Times New Roman" w:hAnsi="Times New Roman" w:cs="Times New Roman"/>
          <w:sz w:val="28"/>
        </w:rPr>
        <w:br/>
        <w:t>• pubblicazioni giuridiche;</w:t>
      </w:r>
      <w:r w:rsidRPr="00D11113">
        <w:rPr>
          <w:rFonts w:ascii="Times New Roman" w:hAnsi="Times New Roman" w:cs="Times New Roman"/>
          <w:sz w:val="28"/>
        </w:rPr>
        <w:br/>
        <w:t>• conseguimento dei crediti formativi previsti;</w:t>
      </w:r>
      <w:r w:rsidRPr="00D11113">
        <w:rPr>
          <w:rFonts w:ascii="Times New Roman" w:hAnsi="Times New Roman" w:cs="Times New Roman"/>
          <w:sz w:val="28"/>
        </w:rPr>
        <w:br/>
        <w:t>• incarichi in organismi ufficiali del notariato;</w:t>
      </w:r>
      <w:r w:rsidRPr="00D11113">
        <w:rPr>
          <w:rFonts w:ascii="Times New Roman" w:hAnsi="Times New Roman" w:cs="Times New Roman"/>
          <w:sz w:val="28"/>
        </w:rPr>
        <w:br/>
        <w:t>• partecipazione ad enti associativi senza scopo di lucro.</w:t>
      </w:r>
      <w:r w:rsidRPr="00D11113">
        <w:rPr>
          <w:rFonts w:ascii="Times New Roman" w:hAnsi="Times New Roman" w:cs="Times New Roman"/>
          <w:sz w:val="28"/>
        </w:rPr>
        <w:br/>
        <w:t>È ammessa inoltre quale pubblicità informativa quella relativa a:</w:t>
      </w:r>
      <w:r w:rsidRPr="00D11113">
        <w:rPr>
          <w:rFonts w:ascii="Times New Roman" w:hAnsi="Times New Roman" w:cs="Times New Roman"/>
          <w:sz w:val="28"/>
        </w:rPr>
        <w:br/>
        <w:t>• disponibilità di lavoro in determinati giorni ed ore;</w:t>
      </w:r>
      <w:r w:rsidRPr="00D11113">
        <w:rPr>
          <w:rFonts w:ascii="Times New Roman" w:hAnsi="Times New Roman" w:cs="Times New Roman"/>
          <w:sz w:val="28"/>
        </w:rPr>
        <w:br/>
      </w:r>
      <w:r w:rsidRPr="00D11113">
        <w:rPr>
          <w:rFonts w:ascii="Times New Roman" w:hAnsi="Times New Roman" w:cs="Times New Roman"/>
          <w:sz w:val="28"/>
        </w:rPr>
        <w:lastRenderedPageBreak/>
        <w:t>• struttura organizzativa dello studio;</w:t>
      </w:r>
      <w:r w:rsidRPr="00D11113">
        <w:rPr>
          <w:rFonts w:ascii="Times New Roman" w:hAnsi="Times New Roman" w:cs="Times New Roman"/>
          <w:sz w:val="28"/>
        </w:rPr>
        <w:br/>
        <w:t>• ubicazione e modalità di accesso allo studio;</w:t>
      </w:r>
      <w:r w:rsidRPr="00D11113">
        <w:rPr>
          <w:rFonts w:ascii="Times New Roman" w:hAnsi="Times New Roman" w:cs="Times New Roman"/>
          <w:sz w:val="28"/>
        </w:rPr>
        <w:br/>
        <w:t>• conoscenza da parte del notaio o del personale di studio di determinate lingue straniere.</w:t>
      </w:r>
      <w:r w:rsidRPr="00D11113">
        <w:rPr>
          <w:rFonts w:ascii="Times New Roman" w:hAnsi="Times New Roman" w:cs="Times New Roman"/>
          <w:sz w:val="28"/>
        </w:rPr>
        <w:br/>
        <w:t xml:space="preserve">L'informativa circa il compenso e i costi complessivi della prestazione deve rispondere a criteri di trasparenza e veridicità, specificando analiticamente spese, anticipazioni, onorari, diritti e compensi. </w:t>
      </w:r>
      <w:r w:rsidRPr="00D11113">
        <w:rPr>
          <w:rFonts w:ascii="Times New Roman" w:hAnsi="Times New Roman" w:cs="Times New Roman"/>
          <w:sz w:val="28"/>
        </w:rPr>
        <w:br/>
        <w:t>A tutela del cliente i Consigli Notarili Distrettuali vigilano sul rispetto dei suddetti criteri.</w:t>
      </w:r>
      <w:r w:rsidRPr="00D11113">
        <w:rPr>
          <w:rFonts w:ascii="Times New Roman" w:hAnsi="Times New Roman" w:cs="Times New Roman"/>
          <w:sz w:val="28"/>
        </w:rPr>
        <w:br/>
      </w:r>
      <w:r w:rsidRPr="00D11113">
        <w:rPr>
          <w:rFonts w:ascii="Times New Roman" w:hAnsi="Times New Roman" w:cs="Times New Roman"/>
          <w:sz w:val="28"/>
        </w:rPr>
        <w:br/>
        <w:t>20 - Nel rispetto della funzione pubblica (e del prestigio e del decoro della categoria) (e per colmare asimmetrie informative), è consentito al Notaio pubblicizzare i dati di cui all'art. 18 con ogni mezzo di comunicazione come ad esempio:</w:t>
      </w:r>
      <w:r w:rsidRPr="00D11113">
        <w:rPr>
          <w:rFonts w:ascii="Times New Roman" w:hAnsi="Times New Roman" w:cs="Times New Roman"/>
          <w:sz w:val="28"/>
        </w:rPr>
        <w:br/>
      </w:r>
      <w:r w:rsidRPr="00D11113">
        <w:rPr>
          <w:rFonts w:ascii="Times New Roman" w:hAnsi="Times New Roman" w:cs="Times New Roman"/>
          <w:sz w:val="28"/>
        </w:rPr>
        <w:br/>
        <w:t>1. targhe da esporsi all'esterno dello studio e/o dell'eventuale ufficio secondario;</w:t>
      </w:r>
      <w:r w:rsidRPr="00D11113">
        <w:rPr>
          <w:rFonts w:ascii="Times New Roman" w:hAnsi="Times New Roman" w:cs="Times New Roman"/>
          <w:sz w:val="28"/>
        </w:rPr>
        <w:br/>
        <w:t>2. rubriche, anche telefoniche;</w:t>
      </w:r>
      <w:r w:rsidRPr="00D11113">
        <w:rPr>
          <w:rFonts w:ascii="Times New Roman" w:hAnsi="Times New Roman" w:cs="Times New Roman"/>
          <w:sz w:val="28"/>
        </w:rPr>
        <w:br/>
        <w:t>3. carta intestata;</w:t>
      </w:r>
      <w:r w:rsidRPr="00D11113">
        <w:rPr>
          <w:rFonts w:ascii="Times New Roman" w:hAnsi="Times New Roman" w:cs="Times New Roman"/>
          <w:sz w:val="28"/>
        </w:rPr>
        <w:br/>
        <w:t>4. siti internet.</w:t>
      </w:r>
      <w:r w:rsidRPr="00D11113">
        <w:rPr>
          <w:rFonts w:ascii="Times New Roman" w:hAnsi="Times New Roman" w:cs="Times New Roman"/>
          <w:sz w:val="28"/>
        </w:rPr>
        <w:br/>
      </w:r>
      <w:r w:rsidRPr="00D11113">
        <w:rPr>
          <w:rFonts w:ascii="Times New Roman" w:hAnsi="Times New Roman" w:cs="Times New Roman"/>
          <w:sz w:val="28"/>
        </w:rPr>
        <w:br/>
        <w:t>21 - La partecipazione o collaborazione a trasmissioni o rubriche radio-televisive o giornalistiche, anche in forma di intervista nonché a iniziative e/o manifestazioni culturali, sportive, e, comunque, aperte al pubblico (pur se comporta indirettamente occasione di notorietà professionale attraverso i mezzi di comunicazione di massa), non deve costituire strumento per la diffusione di dati pubblicitari diversi da quelli previsti dall'art. 18 e, per le circostanze di svolgimento, per l'immagine generale che si offre della figura del Notaio e per la qualità e l'attendibilità dell'informazione, non deve ledere il prestigio ed il decoro della categoria.</w:t>
      </w:r>
      <w:bookmarkEnd w:id="0"/>
    </w:p>
    <w:sectPr w:rsidR="00326E69" w:rsidRPr="00D11113" w:rsidSect="00EB0168">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68"/>
    <w:rsid w:val="00170C0D"/>
    <w:rsid w:val="00326E69"/>
    <w:rsid w:val="00D11113"/>
    <w:rsid w:val="00EB0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99F18-B0B8-46FD-8C23-1E99CF57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Words>
  <Characters>5675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3</cp:revision>
  <dcterms:created xsi:type="dcterms:W3CDTF">2017-09-25T15:24:00Z</dcterms:created>
  <dcterms:modified xsi:type="dcterms:W3CDTF">2018-01-15T20:23:00Z</dcterms:modified>
</cp:coreProperties>
</file>